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Certification Qualiopi</w:t>
      </w:r>
    </w:p>
    <w:p>
      <w:pPr>
        <w:spacing w:before="120" w:after="480"/>
        <w:jc w:val="center"/>
      </w:pPr>
      <w:r>
        <w:rPr>
          <w:i/>
          <w:iCs/>
          <w:color w:val="666666"/>
          <w:sz w:val="28"/>
          <w:szCs w:val="28"/>
        </w:rPr>
        <w:t xml:space="preserve">Gage de qualité et d'excellence</w:t>
      </w:r>
    </w:p>
    <w:p>
      <w:pPr>
        <w:spacing w:before="240" w:after="240"/>
      </w:pPr>
      <w:r>
        <w:rPr>
          <w:sz w:val="24"/>
          <w:szCs w:val="24"/>
        </w:rPr>
        <w:t xml:space="preserve">Nos organismes de formation sont fiers d'être certifiés Qualiopi, la certification nationale qui atteste de la qualité de nos processus de formation. Cette certification, délivrée par l'État français, garantit à nos clients et partenaires notre engagement envers l'excellence et la conformité au Référentiel National Qualité.</w:t>
      </w:r>
    </w:p>
    <w:p>
      <w:pPr>
        <w:pStyle w:val="Heading2"/>
        <w:spacing w:before="480" w:after="240"/>
      </w:pPr>
      <w:r>
        <w:t xml:space="preserve">Platinium Formation</w:t>
      </w:r>
    </w:p>
    <w:p>
      <w:pPr>
        <w:spacing w:before="240" w:after="120"/>
      </w:pPr>
      <w:r>
        <w:rPr>
          <w:b/>
          <w:bCs/>
          <w:sz w:val="24"/>
          <w:szCs w:val="24"/>
        </w:rPr>
        <w:t xml:space="preserve">Certification : </w:t>
      </w:r>
      <w:r>
        <w:rPr>
          <w:color w:val="2E75B6"/>
          <w:sz w:val="24"/>
          <w:szCs w:val="24"/>
        </w:rPr>
        <w:t xml:space="preserve">Actions de formation</w:t>
      </w:r>
    </w:p>
    <w:p>
      <w:pPr>
        <w:spacing w:before="120" w:after="240"/>
      </w:pPr>
      <w:r>
        <w:rPr>
          <w:sz w:val="24"/>
          <w:szCs w:val="24"/>
        </w:rPr>
        <w:t xml:space="preserve">Platinium Formation est certifié Qualiopi au titre des actions de formation. Cette certification atteste de la qualité de nos formations professionnelles continues destinées aux entreprises, salariés et demandeurs d'emploi.</w:t>
      </w:r>
    </w:p>
    <w:p>
      <w:pPr>
        <w:pStyle w:val="Heading3"/>
        <w:spacing w:before="360" w:after="180"/>
      </w:pPr>
      <w:r>
        <w:t xml:space="preserve">Nos domaines de formation certifiés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tcPr>
          <w:p>
            <w:r>
              <w:rPr>
                <w:b/>
                <w:bCs/>
                <w:color w:val="FFFFFF"/>
                <w:sz w:val="24"/>
                <w:szCs w:val="24"/>
              </w:rPr>
              <w:t xml:space="preserve">Domaine</w:t>
            </w:r>
          </w:p>
        </w:tc>
        <w:tc>
          <w:tcPr>
            <w:tcW w:type="dxa" w:w="468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tcPr>
          <w:p>
            <w:r>
              <w:rPr>
                <w:b/>
                <w:bCs/>
                <w:color w:val="FFFFFF"/>
                <w:sz w:val="24"/>
                <w:szCs w:val="24"/>
              </w:rPr>
              <w:t xml:space="preserve">Formations proposées</w:t>
            </w:r>
          </w:p>
        </w:tc>
      </w:tr>
      <w:tr>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4"/>
                <w:szCs w:val="24"/>
              </w:rPr>
              <w:t xml:space="preserve">Informatique</w:t>
            </w:r>
          </w:p>
        </w:tc>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2"/>
                <w:szCs w:val="22"/>
              </w:rPr>
              <w:t xml:space="preserve">Bureautique, Pack Office, Outils collaboratifs</w:t>
            </w:r>
          </w:p>
        </w:tc>
      </w:tr>
      <w:tr>
        <w:tc>
          <w:tcPr>
            <w:tcW w:type="dxa" w:w="4680"/>
            <w:tcBorders>
              <w:top w:val="single" w:color="CCCCCC" w:sz="1"/>
              <w:left w:val="single" w:color="CCCCCC" w:sz="1"/>
              <w:bottom w:val="single" w:color="CCCCCC" w:sz="1"/>
              <w:right w:val="single" w:color="CCCCCC" w:sz="1"/>
            </w:tcBorders>
            <w:shd w:fill="F2F2F2" w:val="clear"/>
            <w:tcMar>
              <w:top w:type="dxa" w:w="100"/>
              <w:left w:type="dxa" w:w="120"/>
              <w:bottom w:type="dxa" w:w="100"/>
              <w:right w:type="dxa" w:w="120"/>
            </w:tcMar>
          </w:tcPr>
          <w:p>
            <w:r>
              <w:rPr>
                <w:sz w:val="24"/>
                <w:szCs w:val="24"/>
              </w:rPr>
              <w:t xml:space="preserve">Langues étrangères</w:t>
            </w:r>
          </w:p>
        </w:tc>
        <w:tc>
          <w:tcPr>
            <w:tcW w:type="dxa" w:w="4680"/>
            <w:tcBorders>
              <w:top w:val="single" w:color="CCCCCC" w:sz="1"/>
              <w:left w:val="single" w:color="CCCCCC" w:sz="1"/>
              <w:bottom w:val="single" w:color="CCCCCC" w:sz="1"/>
              <w:right w:val="single" w:color="CCCCCC" w:sz="1"/>
            </w:tcBorders>
            <w:shd w:fill="F2F2F2" w:val="clear"/>
            <w:tcMar>
              <w:top w:type="dxa" w:w="100"/>
              <w:left w:type="dxa" w:w="120"/>
              <w:bottom w:type="dxa" w:w="100"/>
              <w:right w:type="dxa" w:w="120"/>
            </w:tcMar>
          </w:tcPr>
          <w:p>
            <w:r>
              <w:rPr>
                <w:sz w:val="22"/>
                <w:szCs w:val="22"/>
              </w:rPr>
              <w:t xml:space="preserve">Anglais, Espagnol, Italien, Allemand, FLE</w:t>
            </w:r>
          </w:p>
        </w:tc>
      </w:tr>
      <w:tr>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4"/>
                <w:szCs w:val="24"/>
              </w:rPr>
              <w:t xml:space="preserve">Digital &amp; Design</w:t>
            </w:r>
          </w:p>
        </w:tc>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sz w:val="22"/>
                <w:szCs w:val="22"/>
              </w:rPr>
              <w:t xml:space="preserve">Réseaux sociaux, PAO/DAO</w:t>
            </w:r>
          </w:p>
        </w:tc>
      </w:tr>
      <w:tr>
        <w:tc>
          <w:tcPr>
            <w:tcW w:type="dxa" w:w="4680"/>
            <w:tcBorders>
              <w:top w:val="single" w:color="CCCCCC" w:sz="1"/>
              <w:left w:val="single" w:color="CCCCCC" w:sz="1"/>
              <w:bottom w:val="single" w:color="CCCCCC" w:sz="1"/>
              <w:right w:val="single" w:color="CCCCCC" w:sz="1"/>
            </w:tcBorders>
            <w:shd w:fill="F2F2F2" w:val="clear"/>
            <w:tcMar>
              <w:top w:type="dxa" w:w="100"/>
              <w:left w:type="dxa" w:w="120"/>
              <w:bottom w:type="dxa" w:w="100"/>
              <w:right w:type="dxa" w:w="120"/>
            </w:tcMar>
          </w:tcPr>
          <w:p>
            <w:r>
              <w:rPr>
                <w:sz w:val="24"/>
                <w:szCs w:val="24"/>
              </w:rPr>
              <w:t xml:space="preserve">Fonctions supports</w:t>
            </w:r>
          </w:p>
        </w:tc>
        <w:tc>
          <w:tcPr>
            <w:tcW w:type="dxa" w:w="4680"/>
            <w:tcBorders>
              <w:top w:val="single" w:color="CCCCCC" w:sz="1"/>
              <w:left w:val="single" w:color="CCCCCC" w:sz="1"/>
              <w:bottom w:val="single" w:color="CCCCCC" w:sz="1"/>
              <w:right w:val="single" w:color="CCCCCC" w:sz="1"/>
            </w:tcBorders>
            <w:shd w:fill="F2F2F2" w:val="clear"/>
            <w:tcMar>
              <w:top w:type="dxa" w:w="100"/>
              <w:left w:type="dxa" w:w="120"/>
              <w:bottom w:type="dxa" w:w="100"/>
              <w:right w:type="dxa" w:w="120"/>
            </w:tcMar>
          </w:tcPr>
          <w:p>
            <w:r>
              <w:rPr>
                <w:sz w:val="22"/>
                <w:szCs w:val="22"/>
              </w:rPr>
              <w:t xml:space="preserve">Management, Gestion, Organisation</w:t>
            </w:r>
          </w:p>
        </w:tc>
      </w:tr>
    </w:tbl>
    <w:p>
      <w:pPr>
        <w:spacing w:before="360" w:after="120"/>
      </w:pPr>
      <w:r>
        <w:rPr>
          <w:b/>
          <w:bCs/>
          <w:sz w:val="24"/>
          <w:szCs w:val="24"/>
        </w:rPr>
        <w:t xml:space="preserve">Mention légale :</w:t>
      </w:r>
    </w:p>
    <w:p>
      <w:pPr>
        <w:spacing w:before="120" w:after="240"/>
      </w:pPr>
      <w:r>
        <w:rPr>
          <w:i/>
          <w:iCs/>
          <w:sz w:val="22"/>
          <w:szCs w:val="22"/>
        </w:rPr>
        <w:t xml:space="preserve">La certification qualité a été délivrée au titre de la catégorie d'action suivante :</w:t>
      </w:r>
    </w:p>
    <w:p>
      <w:pPr>
        <w:spacing w:before="60" w:after="360"/>
        <w:jc w:val="center"/>
      </w:pPr>
      <w:r>
        <w:rPr>
          <w:b/>
          <w:bCs/>
          <w:color w:val="2E75B6"/>
          <w:sz w:val="28"/>
          <w:szCs w:val="28"/>
        </w:rPr>
        <w:t xml:space="preserve">ACTIONS DE FORMATION</w:t>
      </w:r>
    </w:p>
    <w:p>
      <w:pPr>
        <w:pStyle w:val="Heading2"/>
        <w:spacing w:before="600" w:after="240"/>
      </w:pPr>
      <w:r>
        <w:t xml:space="preserve">Platinium Academy</w:t>
      </w:r>
    </w:p>
    <w:p>
      <w:pPr>
        <w:spacing w:before="240" w:after="120"/>
      </w:pPr>
      <w:r>
        <w:rPr>
          <w:b/>
          <w:bCs/>
          <w:sz w:val="24"/>
          <w:szCs w:val="24"/>
        </w:rPr>
        <w:t xml:space="preserve">Certification : </w:t>
      </w:r>
      <w:r>
        <w:rPr>
          <w:color w:val="2E75B6"/>
          <w:sz w:val="24"/>
          <w:szCs w:val="24"/>
        </w:rPr>
        <w:t xml:space="preserve">Actions de formation &amp; Actions de formation par apprentissage (CFA)</w:t>
      </w:r>
    </w:p>
    <w:p>
      <w:pPr>
        <w:spacing w:before="120" w:after="240"/>
      </w:pPr>
      <w:r>
        <w:rPr>
          <w:sz w:val="24"/>
          <w:szCs w:val="24"/>
        </w:rPr>
        <w:t xml:space="preserve">Platinium Academy élargit notre offre avec une double certification Qualiopi. En plus des actions de formation continue, nous sommes également certifiés en tant que Centre de Formation d'Apprentis (CFA), permettant ainsi de proposer des parcours en alternance.</w:t>
      </w:r>
    </w:p>
    <w:p>
      <w:pPr>
        <w:pStyle w:val="Heading3"/>
        <w:spacing w:before="360" w:after="180"/>
      </w:pPr>
      <w:r>
        <w:t xml:space="preserve">Actions de formation</w:t>
      </w:r>
    </w:p>
    <w:p>
      <w:pPr>
        <w:spacing w:before="120" w:after="240"/>
      </w:pPr>
      <w:r>
        <w:rPr>
          <w:sz w:val="24"/>
          <w:szCs w:val="24"/>
        </w:rPr>
        <w:t xml:space="preserve">Comme pour Platinium Formation, Platinium Academy propose l'ensemble des formations professionnelles continues dans tous nos domaines d'expertise. Cette catégorie couvre toutes les actions de développement des compétences destinées aux professionnels en activité, aux demandeurs d'emploi et aux entreprises souhaitant former leurs collaborateurs.</w:t>
      </w:r>
    </w:p>
    <w:p>
      <w:pPr>
        <w:pStyle w:val="Heading3"/>
        <w:spacing w:before="360" w:after="180"/>
      </w:pPr>
      <w:r>
        <w:t xml:space="preserve">Actions de formation par apprentissage (CFA)</w:t>
      </w:r>
    </w:p>
    <w:p>
      <w:pPr>
        <w:spacing w:before="120" w:after="240"/>
      </w:pPr>
      <w:r>
        <w:rPr>
          <w:sz w:val="24"/>
          <w:szCs w:val="24"/>
        </w:rPr>
        <w:t xml:space="preserve">En tant que Centre de Formation d'Apprentis, Platinium Academy propose des parcours en alternance permettant aux apprenants de combiner formation théorique et expérience professionnelle en entreprise. Cette modalité pédagogique s'adresse principalement aux jeunes de 16 à 29 ans souhaitant obtenir une qualification tout en étant rémunérés.</w:t>
      </w:r>
    </w:p>
    <w:p>
      <w:pPr>
        <w:pStyle w:val="Heading3"/>
        <w:spacing w:before="360" w:after="180"/>
      </w:pPr>
      <w:r>
        <w:t xml:space="preserve">Les avantages de l'alternance by Platinium</w:t>
      </w:r>
    </w:p>
    <w:p>
      <w:pPr>
        <w:spacing w:before="180" w:after="120"/>
      </w:pPr>
      <w:r>
        <w:rPr>
          <w:b/>
          <w:bCs/>
          <w:sz w:val="24"/>
          <w:szCs w:val="24"/>
        </w:rPr>
        <w:t xml:space="preserve">Un accompagnement sur-mesure : </w:t>
      </w:r>
      <w:r>
        <w:rPr>
          <w:sz w:val="24"/>
          <w:szCs w:val="24"/>
        </w:rPr>
        <w:t xml:space="preserve">Chaque alternant bénéficie d'un suivi personnalisé tout au long de son parcours, avec un référent pédagogique dédié qui assure la coordination entre l'entreprise et le centre de formation.</w:t>
      </w:r>
    </w:p>
    <w:p>
      <w:pPr>
        <w:spacing w:before="120" w:after="120"/>
      </w:pPr>
      <w:r>
        <w:rPr>
          <w:b/>
          <w:bCs/>
          <w:sz w:val="24"/>
          <w:szCs w:val="24"/>
        </w:rPr>
        <w:t xml:space="preserve">Une formation qualifiante : </w:t>
      </w:r>
      <w:r>
        <w:rPr>
          <w:sz w:val="24"/>
          <w:szCs w:val="24"/>
        </w:rPr>
        <w:t xml:space="preserve">Les formations proposées débouchent sur des diplômes ou titres professionnels reconnus par l'État, garantissant une employabilité optimale à l'issue du parcours.</w:t>
      </w:r>
    </w:p>
    <w:p>
      <w:pPr>
        <w:spacing w:before="120" w:after="120"/>
      </w:pPr>
      <w:r>
        <w:rPr>
          <w:b/>
          <w:bCs/>
          <w:sz w:val="24"/>
          <w:szCs w:val="24"/>
        </w:rPr>
        <w:t xml:space="preserve">Un rythme adapté : </w:t>
      </w:r>
      <w:r>
        <w:rPr>
          <w:sz w:val="24"/>
          <w:szCs w:val="24"/>
        </w:rPr>
        <w:t xml:space="preserve">L'alternance permet de mettre immédiatement en pratique les compétences acquises en formation, favorisant ainsi une meilleure intégration des connaissances et une progression rapide.</w:t>
      </w:r>
    </w:p>
    <w:p>
      <w:pPr>
        <w:spacing w:before="120" w:after="240"/>
      </w:pPr>
      <w:r>
        <w:rPr>
          <w:b/>
          <w:bCs/>
          <w:sz w:val="24"/>
          <w:szCs w:val="24"/>
        </w:rPr>
        <w:t xml:space="preserve">Une rémunération : </w:t>
      </w:r>
      <w:r>
        <w:rPr>
          <w:sz w:val="24"/>
          <w:szCs w:val="24"/>
        </w:rPr>
        <w:t xml:space="preserve">Les alternants perçoivent un salaire durant toute la durée de leur contrat, leur permettant de financer leurs études tout en acquérant une expérience professionnelle valorisante.</w:t>
      </w:r>
    </w:p>
    <w:p>
      <w:pPr>
        <w:spacing w:before="360" w:after="120"/>
      </w:pPr>
      <w:r>
        <w:rPr>
          <w:b/>
          <w:bCs/>
          <w:sz w:val="24"/>
          <w:szCs w:val="24"/>
        </w:rPr>
        <w:t xml:space="preserve">Mention légale :</w:t>
      </w:r>
    </w:p>
    <w:p>
      <w:pPr>
        <w:spacing w:before="120" w:after="240"/>
      </w:pPr>
      <w:r>
        <w:rPr>
          <w:i/>
          <w:iCs/>
          <w:sz w:val="22"/>
          <w:szCs w:val="22"/>
        </w:rPr>
        <w:t xml:space="preserve">La certification qualité a été délivrée au titre des catégories d'actions suivantes :</w:t>
      </w:r>
    </w:p>
    <w:p>
      <w:pPr>
        <w:spacing w:before="60" w:after="120"/>
        <w:jc w:val="center"/>
      </w:pPr>
      <w:r>
        <w:rPr>
          <w:b/>
          <w:bCs/>
          <w:color w:val="2E75B6"/>
          <w:sz w:val="28"/>
          <w:szCs w:val="28"/>
        </w:rPr>
        <w:t xml:space="preserve">ACTIONS DE FORMATION</w:t>
      </w:r>
    </w:p>
    <w:p>
      <w:pPr>
        <w:spacing w:before="60" w:after="360"/>
        <w:jc w:val="center"/>
      </w:pPr>
      <w:r>
        <w:rPr>
          <w:b/>
          <w:bCs/>
          <w:color w:val="2E75B6"/>
          <w:sz w:val="28"/>
          <w:szCs w:val="28"/>
        </w:rPr>
        <w:t xml:space="preserve">ACTIONS DE FORMATION PAR APPRENTISSAGE</w:t>
      </w:r>
    </w:p>
    <w:p>
      <w:pPr>
        <w:pStyle w:val="Heading2"/>
        <w:spacing w:before="600" w:after="240"/>
      </w:pPr>
      <w:r>
        <w:t xml:space="preserve">Qu'est-ce que la certification Qualiopi ?</w:t>
      </w:r>
    </w:p>
    <w:p>
      <w:pPr>
        <w:spacing w:before="120" w:after="240"/>
      </w:pPr>
      <w:r>
        <w:rPr>
          <w:sz w:val="24"/>
          <w:szCs w:val="24"/>
        </w:rPr>
        <w:t xml:space="preserve">La certification Qualiopi est une marque de garantie de l'État français attestant de la qualité du processus mis en œuvre par les organismes de formation. Créée en 2019 et rendue obligatoire depuis 2022 pour accéder aux financements publics et mutualisés, elle repose sur le Référentiel National Qualité (RNQ) composé de 7 critères et 32 indicateurs.</w:t>
      </w:r>
    </w:p>
    <w:p>
      <w:pPr>
        <w:pStyle w:val="Heading3"/>
        <w:spacing w:before="360" w:after="180"/>
      </w:pPr>
      <w:r>
        <w:t xml:space="preserve">Ce que cette certification garantit</w:t>
      </w:r>
    </w:p>
    <w:p>
      <w:pPr>
        <w:spacing w:before="180" w:after="120"/>
      </w:pPr>
      <w:r>
        <w:rPr>
          <w:b/>
          <w:bCs/>
          <w:color w:val="2E75B6"/>
          <w:sz w:val="24"/>
          <w:szCs w:val="24"/>
        </w:rPr>
        <w:t xml:space="preserve">✓ Un processus de formation de qualité</w:t>
      </w:r>
    </w:p>
    <w:p>
      <w:pPr>
        <w:spacing w:before="60" w:after="180"/>
      </w:pPr>
      <w:r>
        <w:rPr>
          <w:sz w:val="24"/>
          <w:szCs w:val="24"/>
        </w:rPr>
        <w:t xml:space="preserve">Nos parcours de formation sont conçus selon des standards rigoureux, avec des objectifs pédagogiques clairs et des moyens adaptés.</w:t>
      </w:r>
    </w:p>
    <w:p>
      <w:pPr>
        <w:spacing w:before="180" w:after="120"/>
      </w:pPr>
      <w:r>
        <w:rPr>
          <w:b/>
          <w:bCs/>
          <w:color w:val="2E75B6"/>
          <w:sz w:val="24"/>
          <w:szCs w:val="24"/>
        </w:rPr>
        <w:t xml:space="preserve">✓ Un accompagnement personnalisé</w:t>
      </w:r>
    </w:p>
    <w:p>
      <w:pPr>
        <w:spacing w:before="60" w:after="180"/>
      </w:pPr>
      <w:r>
        <w:rPr>
          <w:sz w:val="24"/>
          <w:szCs w:val="24"/>
        </w:rPr>
        <w:t xml:space="preserve">Chaque apprenant bénéficie d'un suivi individualisé et de l'expertise de formateurs qualifiés et expérimentés.</w:t>
      </w:r>
    </w:p>
    <w:p>
      <w:pPr>
        <w:spacing w:before="180" w:after="120"/>
      </w:pPr>
      <w:r>
        <w:rPr>
          <w:b/>
          <w:bCs/>
          <w:color w:val="2E75B6"/>
          <w:sz w:val="24"/>
          <w:szCs w:val="24"/>
        </w:rPr>
        <w:t xml:space="preserve">✓ Une amélioration continue</w:t>
      </w:r>
    </w:p>
    <w:p>
      <w:pPr>
        <w:spacing w:before="60" w:after="180"/>
      </w:pPr>
      <w:r>
        <w:rPr>
          <w:sz w:val="24"/>
          <w:szCs w:val="24"/>
        </w:rPr>
        <w:t xml:space="preserve">Nous évaluons régulièrement la satisfaction de nos apprenants et l'efficacité de nos formations pour garantir une amélioration constante de nos services.</w:t>
      </w:r>
    </w:p>
    <w:p>
      <w:pPr>
        <w:spacing w:before="180" w:after="120"/>
      </w:pPr>
      <w:r>
        <w:rPr>
          <w:b/>
          <w:bCs/>
          <w:color w:val="2E75B6"/>
          <w:sz w:val="24"/>
          <w:szCs w:val="24"/>
        </w:rPr>
        <w:t xml:space="preserve">✓ L'accès aux financements</w:t>
      </w:r>
    </w:p>
    <w:p>
      <w:pPr>
        <w:spacing w:before="60" w:after="240"/>
      </w:pPr>
      <w:r>
        <w:rPr>
          <w:sz w:val="24"/>
          <w:szCs w:val="24"/>
        </w:rPr>
        <w:t xml:space="preserve">Notre certification Qualiopi permet à nos clients de bénéficier de prises en charge par les OPCO, le CPF, Pôle emploi et autres dispositifs de financement public.</w:t>
      </w:r>
    </w:p>
    <w:p>
      <w:pPr>
        <w:spacing w:before="480" w:after="120"/>
        <w:jc w:val="center"/>
      </w:pPr>
      <w:r>
        <w:rPr>
          <w:i/>
          <w:iCs/>
          <w:sz w:val="24"/>
          <w:szCs w:val="24"/>
        </w:rPr>
        <w:t xml:space="preserve">Pour plus d'informations sur nos formations certifiées</w:t>
      </w:r>
    </w:p>
    <w:p>
      <w:pPr>
        <w:spacing w:before="60" w:after="120"/>
        <w:jc w:val="center"/>
      </w:pPr>
      <w:r>
        <w:rPr>
          <w:b/>
          <w:bCs/>
          <w:color w:val="2E75B6"/>
          <w:sz w:val="24"/>
          <w:szCs w:val="24"/>
        </w:rPr>
        <w:t xml:space="preserve">www.platiniumformation.com</w:t>
      </w:r>
    </w:p>
    <w:p>
      <w:pPr>
        <w:spacing w:before="60" w:after="0"/>
        <w:jc w:val="center"/>
      </w:pPr>
      <w:r>
        <w:rPr>
          <w:sz w:val="24"/>
          <w:szCs w:val="24"/>
        </w:rPr>
        <w:t xml:space="preserve">04 37 28 09 10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F4E78"/>
      <w:sz w:val="36"/>
      <w:szCs w:val="36"/>
    </w:rPr>
  </w:style>
  <w:style w:type="paragraph" w:styleId="Heading2">
    <w:name w:val="Heading 2"/>
    <w:basedOn w:val="Normal"/>
    <w:next w:val="Normal"/>
    <w:qFormat/>
    <w:pPr>
      <w:spacing w:before="360" w:after="180"/>
      <w:outlineLvl w:val="1"/>
    </w:pPr>
    <w:rPr>
      <w:rFonts w:ascii="Arial" w:cs="Arial" w:eastAsia="Arial" w:hAnsi="Arial"/>
      <w:b/>
      <w:bCs/>
      <w:color w:val="2E75B6"/>
      <w:sz w:val="30"/>
      <w:szCs w:val="30"/>
    </w:rPr>
  </w:style>
  <w:style w:type="paragraph" w:styleId="Heading3">
    <w:name w:val="Heading 3"/>
    <w:basedOn w:val="Normal"/>
    <w:next w:val="Normal"/>
    <w:qFormat/>
    <w:pPr>
      <w:spacing w:before="240" w:after="120"/>
      <w:outlineLvl w:val="2"/>
    </w:pPr>
    <w:rPr>
      <w:rFonts w:ascii="Arial" w:cs="Arial" w:eastAsia="Arial" w:hAnsi="Arial"/>
      <w:b/>
      <w:bCs/>
      <w:color w:val="5B9BD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2026-01-22T09:51:23.068Z</dcterms:created>
  <dcterms:modified xsi:type="dcterms:W3CDTF">2026-01-22T09:51:23.069Z</dcterms:modified>
</cp:coreProperties>
</file>

<file path=docProps/custom.xml><?xml version="1.0" encoding="utf-8"?>
<Properties xmlns="http://schemas.openxmlformats.org/officeDocument/2006/custom-properties" xmlns:vt="http://schemas.openxmlformats.org/officeDocument/2006/docPropsVTypes"/>
</file>